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2"/>
      </w:tblGrid>
      <w:tr w:rsidR="00377F92">
        <w:tc>
          <w:tcPr>
            <w:tcW w:w="5637" w:type="dxa"/>
          </w:tcPr>
          <w:p w:rsidR="00377F92" w:rsidRDefault="00377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Toc498339581"/>
            <w:bookmarkStart w:id="1" w:name="_Toc498352901"/>
            <w:bookmarkStart w:id="2" w:name="_Toc498520151"/>
            <w:bookmarkStart w:id="3" w:name="_Toc498534564"/>
            <w:bookmarkStart w:id="4" w:name="_Toc27574058"/>
            <w:bookmarkStart w:id="5" w:name="_Toc28089514"/>
            <w:bookmarkStart w:id="6" w:name="_Toc28588619"/>
            <w:bookmarkStart w:id="7" w:name="_Toc28606135"/>
            <w:bookmarkStart w:id="8" w:name="_GoBack"/>
          </w:p>
        </w:tc>
        <w:tc>
          <w:tcPr>
            <w:tcW w:w="4112" w:type="dxa"/>
          </w:tcPr>
          <w:p w:rsidR="00377F92" w:rsidRDefault="009E5A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Приложение № 9 </w:t>
            </w:r>
          </w:p>
          <w:p w:rsidR="00377F92" w:rsidRDefault="009E5A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 постановлению правительства</w:t>
            </w:r>
          </w:p>
          <w:p w:rsidR="00377F92" w:rsidRDefault="009E5A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Белгородской области</w:t>
            </w:r>
          </w:p>
          <w:p w:rsidR="00377F92" w:rsidRDefault="009E5A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 ___________ 2023 г.</w:t>
            </w:r>
          </w:p>
          <w:p w:rsidR="00377F92" w:rsidRDefault="009E5A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______________</w:t>
            </w:r>
          </w:p>
          <w:p w:rsidR="00377F92" w:rsidRDefault="00377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77F92" w:rsidRDefault="00377F92">
      <w:pPr>
        <w:rPr>
          <w:lang w:val="en-US"/>
        </w:rPr>
      </w:pPr>
    </w:p>
    <w:p w:rsidR="00377F92" w:rsidRDefault="009E5A9E">
      <w:pPr>
        <w:pStyle w:val="af7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. Схема потоков отходов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/>
          <w:sz w:val="28"/>
          <w:szCs w:val="28"/>
        </w:rPr>
        <w:t xml:space="preserve"> от источников их образования 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</w:t>
      </w:r>
    </w:p>
    <w:p w:rsidR="00377F92" w:rsidRDefault="00377F92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F92" w:rsidRDefault="009E5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Транспортирование ТКО осуществляется от объектов жилищного фонда и зданий хозяйствующих субъектов до объектов обработки, обезвреживания </w:t>
      </w:r>
      <w:r>
        <w:rPr>
          <w:rFonts w:ascii="Times New Roman" w:hAnsi="Times New Roman"/>
          <w:sz w:val="28"/>
          <w:szCs w:val="28"/>
        </w:rPr>
        <w:br/>
        <w:t>и объектов размещения отходов включенные в государственный реестр объектов размещения отходов специализированным автотранспортом.</w:t>
      </w:r>
    </w:p>
    <w:p w:rsidR="00377F92" w:rsidRDefault="009E5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Потоки раздельно накопленных ТКО направляются на объекты обработки, обезвреживания и утилизации ТКО в соответствии с таблицами 7.1 и 7.2. В случае организации раздельного накопления ТКО в муниципальном образовании, такие раздельно накопленные ТКО подлежат направлению </w:t>
      </w:r>
      <w:r>
        <w:rPr>
          <w:rFonts w:ascii="Times New Roman" w:hAnsi="Times New Roman"/>
          <w:sz w:val="28"/>
          <w:szCs w:val="28"/>
        </w:rPr>
        <w:br/>
        <w:t>на ближайший объект обработки ТКО.</w:t>
      </w:r>
    </w:p>
    <w:p w:rsidR="00377F92" w:rsidRDefault="009E5A9E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9.1. и на рисунке 9.1. представлена действующая схема движения ТКО. </w:t>
      </w:r>
    </w:p>
    <w:p w:rsidR="00377F92" w:rsidRDefault="00377F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7F92" w:rsidRDefault="009E5A9E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9.1.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4217"/>
        <w:gridCol w:w="4831"/>
      </w:tblGrid>
      <w:tr w:rsidR="00377F92">
        <w:trPr>
          <w:trHeight w:val="300"/>
          <w:tblHeader/>
        </w:trPr>
        <w:tc>
          <w:tcPr>
            <w:tcW w:w="359" w:type="pct"/>
            <w:vAlign w:val="center"/>
          </w:tcPr>
          <w:p w:rsidR="00377F92" w:rsidRDefault="009E5A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3" w:type="pct"/>
            <w:noWrap/>
            <w:vAlign w:val="center"/>
          </w:tcPr>
          <w:p w:rsidR="00377F92" w:rsidRDefault="00377F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77F92" w:rsidRDefault="009E5A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Муниципальное образование</w:t>
            </w:r>
          </w:p>
          <w:p w:rsidR="00377F92" w:rsidRDefault="00377F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9" w:type="pct"/>
            <w:noWrap/>
            <w:vAlign w:val="center"/>
          </w:tcPr>
          <w:p w:rsidR="00377F92" w:rsidRDefault="009E5A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Объект обработки (размещения) отходов, на который направлены потоки ТКО</w:t>
            </w:r>
          </w:p>
        </w:tc>
      </w:tr>
      <w:tr w:rsidR="00377F92">
        <w:trPr>
          <w:trHeight w:val="300"/>
        </w:trPr>
        <w:tc>
          <w:tcPr>
            <w:tcW w:w="359" w:type="pct"/>
            <w:vAlign w:val="center"/>
          </w:tcPr>
          <w:p w:rsidR="00377F92" w:rsidRDefault="00377F92">
            <w:pPr>
              <w:pStyle w:val="af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pct"/>
            <w:noWrap/>
            <w:vAlign w:val="center"/>
          </w:tcPr>
          <w:p w:rsidR="00377F92" w:rsidRDefault="00377F92">
            <w:pPr>
              <w:pStyle w:val="af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pct"/>
            <w:noWrap/>
            <w:vAlign w:val="center"/>
          </w:tcPr>
          <w:p w:rsidR="00377F92" w:rsidRDefault="00377F92">
            <w:pPr>
              <w:pStyle w:val="af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Алексеевский городской округ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Полигон (Белгородская область, Алексеевский район, вершина балки Урочище Королева Пасека, юго-западнее г. Алексеевка в 3 км от автодороги Белгород-Павловск (169 км) 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(*при утверждении тарифа на обработку ТКО потоки ТКО направляются на мусоросортировочный комплекс, расположенный в Алексеевском городском округе (вблизи полигона))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F92" w:rsidRPr="006E25E4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</w:t>
            </w:r>
            <w:r w:rsidR="00BB209D" w:rsidRPr="006E25E4">
              <w:rPr>
                <w:rFonts w:ascii="Times New Roman" w:hAnsi="Times New Roman"/>
                <w:sz w:val="24"/>
                <w:szCs w:val="24"/>
              </w:rPr>
              <w:t>ы</w:t>
            </w:r>
            <w:r w:rsidRPr="006E25E4">
              <w:rPr>
                <w:rFonts w:ascii="Times New Roman" w:hAnsi="Times New Roman"/>
                <w:sz w:val="24"/>
                <w:szCs w:val="24"/>
              </w:rPr>
              <w:t xml:space="preserve"> обработки</w:t>
            </w:r>
            <w:r w:rsidR="00BB209D" w:rsidRPr="006E25E4">
              <w:rPr>
                <w:rFonts w:ascii="Times New Roman" w:hAnsi="Times New Roman"/>
                <w:sz w:val="24"/>
                <w:szCs w:val="24"/>
              </w:rPr>
              <w:t xml:space="preserve"> и утилизации ТКО</w:t>
            </w:r>
            <w:r w:rsidR="006E25E4" w:rsidRPr="006E25E4">
              <w:rPr>
                <w:rFonts w:ascii="Times New Roman" w:hAnsi="Times New Roman"/>
                <w:sz w:val="24"/>
                <w:szCs w:val="24"/>
              </w:rPr>
              <w:t>,</w:t>
            </w:r>
            <w:r w:rsidR="00BB209D" w:rsidRPr="006E25E4">
              <w:rPr>
                <w:rFonts w:ascii="Times New Roman" w:hAnsi="Times New Roman"/>
                <w:sz w:val="24"/>
                <w:szCs w:val="24"/>
              </w:rPr>
              <w:t xml:space="preserve"> включенные в территориальную схему</w:t>
            </w:r>
          </w:p>
        </w:tc>
      </w:tr>
      <w:tr w:rsidR="00377F92">
        <w:trPr>
          <w:trHeight w:val="79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Белгородский район 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в г. Белгороде в районе старой городской свалки.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закрытия данного объекта потоки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ТКО направляются на полигон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Яковлевском городском округе,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границах СПК «1 мая»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(*при утверждении тарифа на обработку ТКО потоки ТКО направляются на мусоросортировочный комплекс, вблизи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с. Стрелецкое Белгородского района,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неутилизируемая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отходов (хвосты) после обработки направляется на полигон в Яковлевском городском округе, в границах СПК «1 мая») 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91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«Город Белгород»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в г. Белгороде в районе старой городской свалки.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закрытия данного объекта потоки ТКО направляются на полигон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Яковлевском городском округе,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границах СПК «1 мая»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(*при утверждении тарифа на обработку ТКО потоки ТКО направляются на мусоросортировочный комплекс, вблизи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с. Стрелецкое Белгородского района,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неутилизируемая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отходов (хвосты) после обработки направляется на полигон в Яковлевском городском округе, в границах СПК «1 мая») 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1667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Борисовский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ТКО в Яковлевском городском округе, в границе СПК «1 мая»</w:t>
            </w:r>
          </w:p>
          <w:p w:rsidR="00C30D97" w:rsidRDefault="00C30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654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ТБО вблизи г. Валуйки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7F92">
        <w:trPr>
          <w:trHeight w:val="435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Вейделевский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Полигон ТБО вблизи г. Валуйки 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654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ТБО вблизи п. Волоконовка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ТКО в Яковлевском городском округе, в границе СПК «1 мая»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Автоматизированный мусоросортировочный комплекс и полигон в балке Мокрый Лог Губкинского городского округа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Полигон ТБО вблизи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ТБО вблизи г. Короча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Полигон (Белгородская область, Алексеевский район, вершина балки Урочище Королева Пасека, юго-западнее г. Алексеевка в 3 км от автодороги Белгород-Павловск (169 км) 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(*при утверждении тарифа на обработку ТКО потоки ТКО направляются на мусоросортировочный комплекс, расположенный в Алексеевском городском округе (вблизи полигона))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59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Полигон вблизи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Засосна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Красногвардейского района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вблизи п. Красная Яруга,</w:t>
            </w:r>
          </w:p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закрытия данного объекта потоки ТКО направляются на полигон вблизи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п. Ракитное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Новооскольский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Полигон ТБО вблизи с. Песчанка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ТБО вблизи г. Короча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Ракитянский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ТБО вблизи п. Ракитное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62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ТБО вблизи г. Валуйки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Автоматизированный мусоросортировочный комплекс и полигон в балке Мокрый Лог Губкинского городского округа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Чернянский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ТБО вблизи п. Чернянка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Шебекинский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ТБО вблизи г. Шебекино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  <w:tr w:rsidR="00377F92">
        <w:trPr>
          <w:trHeight w:val="300"/>
        </w:trPr>
        <w:tc>
          <w:tcPr>
            <w:tcW w:w="359" w:type="pct"/>
          </w:tcPr>
          <w:p w:rsidR="00377F92" w:rsidRDefault="00377F92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Яковлевский городской округ</w:t>
            </w:r>
          </w:p>
        </w:tc>
        <w:tc>
          <w:tcPr>
            <w:tcW w:w="2479" w:type="pct"/>
            <w:noWrap/>
          </w:tcPr>
          <w:p w:rsidR="00377F92" w:rsidRDefault="009E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Полигон ТКО в Яковлевском городском округе, в границах СПК «1 мая»</w:t>
            </w:r>
          </w:p>
          <w:p w:rsidR="00377F92" w:rsidRDefault="0037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E4" w:rsidRPr="006E25E4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 xml:space="preserve">Раздельно накопленные отходы </w:t>
            </w:r>
          </w:p>
          <w:p w:rsidR="00377F92" w:rsidRDefault="006E25E4" w:rsidP="006E2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4">
              <w:rPr>
                <w:rFonts w:ascii="Times New Roman" w:hAnsi="Times New Roman"/>
                <w:sz w:val="24"/>
                <w:szCs w:val="24"/>
              </w:rPr>
              <w:t>на объекты обработки и утилизации ТКО, включенные в территориальную схему</w:t>
            </w:r>
          </w:p>
        </w:tc>
      </w:tr>
    </w:tbl>
    <w:p w:rsidR="00377F92" w:rsidRDefault="00377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F92" w:rsidRDefault="009E5A9E">
      <w:pPr>
        <w:widowControl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каких-либо непредвиденных ситуаций на территории Белгородской области на объектах обработки</w:t>
      </w:r>
      <w:r w:rsidR="00E41875">
        <w:rPr>
          <w:rFonts w:ascii="Times New Roman" w:hAnsi="Times New Roman"/>
          <w:sz w:val="28"/>
          <w:szCs w:val="28"/>
        </w:rPr>
        <w:t>, обезвреживания</w:t>
      </w:r>
      <w:r>
        <w:rPr>
          <w:rFonts w:ascii="Times New Roman" w:hAnsi="Times New Roman"/>
          <w:sz w:val="28"/>
          <w:szCs w:val="28"/>
        </w:rPr>
        <w:t xml:space="preserve"> и (или) размещения ТКО, использование которых предусмотрено территориальной схемой в течение срока ее действия, обработка и (или) размещение ТКО может осуществляться на иных объектах обработки и (или) размещения ТКО, имеющих на момент возникновения непредвиденной ситуации необходимую мощность </w:t>
      </w:r>
      <w:r>
        <w:rPr>
          <w:rFonts w:ascii="Times New Roman" w:hAnsi="Times New Roman"/>
          <w:sz w:val="28"/>
          <w:szCs w:val="28"/>
        </w:rPr>
        <w:br/>
        <w:t xml:space="preserve">для обработки ТКО и (или) остаточный ресурс размещения отходов, включенных в государственный реестр объектов размещения отходов </w:t>
      </w:r>
      <w:r>
        <w:rPr>
          <w:rFonts w:ascii="Times New Roman" w:hAnsi="Times New Roman"/>
          <w:sz w:val="28"/>
          <w:szCs w:val="28"/>
        </w:rPr>
        <w:br/>
        <w:t xml:space="preserve">(для объектов размещения отходов), эксплуатируемых организациями, имеющими лицензию на осуществление деятельности по сбору, транспортированию, обработке, утилизации, обезвреживанию, размещению отходов I–IV классов опасности в части обработки и (или) размещению отходов на данном объекте. </w:t>
      </w:r>
    </w:p>
    <w:p w:rsidR="00377F92" w:rsidRDefault="009E5A9E">
      <w:pPr>
        <w:widowControl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непредвиденным ситуациям относятся:</w:t>
      </w:r>
      <w:bookmarkStart w:id="9" w:name="_Hlk115710645"/>
      <w:bookmarkEnd w:id="9"/>
    </w:p>
    <w:p w:rsidR="00377F92" w:rsidRDefault="009E5A9E">
      <w:pPr>
        <w:widowControl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приостановление деятельности и (или) прекращение деятельности объекта обработки обезвреживания, размещения отходов в случае приостановления</w:t>
      </w:r>
      <w:r w:rsidR="00E41875">
        <w:rPr>
          <w:rFonts w:ascii="Times New Roman" w:hAnsi="Times New Roman"/>
          <w:sz w:val="28"/>
          <w:szCs w:val="28"/>
        </w:rPr>
        <w:t>, в том числе при</w:t>
      </w:r>
      <w:r>
        <w:rPr>
          <w:rFonts w:ascii="Times New Roman" w:hAnsi="Times New Roman"/>
          <w:sz w:val="28"/>
          <w:szCs w:val="28"/>
        </w:rPr>
        <w:t xml:space="preserve"> аннулировани</w:t>
      </w:r>
      <w:r w:rsidR="002A66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лицензии надзорным (контролирующим) органом;</w:t>
      </w:r>
    </w:p>
    <w:p w:rsidR="00377F92" w:rsidRDefault="009E5A9E">
      <w:pPr>
        <w:widowControl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66A6">
        <w:rPr>
          <w:rFonts w:ascii="Times New Roman" w:hAnsi="Times New Roman"/>
          <w:sz w:val="28"/>
          <w:szCs w:val="28"/>
        </w:rPr>
        <w:t>выход из строя</w:t>
      </w:r>
      <w:r>
        <w:rPr>
          <w:rFonts w:ascii="Times New Roman" w:hAnsi="Times New Roman"/>
          <w:sz w:val="28"/>
          <w:szCs w:val="28"/>
        </w:rPr>
        <w:t xml:space="preserve"> оборудования на объекте обработки, обезвреживания, размещения отходов, повлекшего за собой невозможность приема твердых коммунальных отходов; </w:t>
      </w:r>
    </w:p>
    <w:p w:rsidR="00377F92" w:rsidRDefault="009E5A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срока ввода в эксплуатацию нового объекта обработки, обезвреживания, размещения отходов, предусмотренного территориальной схемой;</w:t>
      </w:r>
    </w:p>
    <w:p w:rsidR="00377F92" w:rsidRDefault="009E5A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введение органами местного самоуправления специальных режимов </w:t>
      </w:r>
      <w:r>
        <w:rPr>
          <w:rFonts w:ascii="Times New Roman" w:hAnsi="Times New Roman"/>
          <w:sz w:val="28"/>
          <w:szCs w:val="28"/>
        </w:rPr>
        <w:br/>
        <w:t xml:space="preserve">на территории населенного пункта, в границах которого расположен объект. </w:t>
      </w:r>
    </w:p>
    <w:p w:rsidR="00377F92" w:rsidRPr="00E41875" w:rsidRDefault="009E5A9E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направления транспортирования ТКО в вышеуказанных ситуациях может осуществляться на срок не более чем 90 календарных дней. </w:t>
      </w:r>
      <w:r>
        <w:rPr>
          <w:rFonts w:ascii="Times New Roman" w:hAnsi="Times New Roman"/>
          <w:sz w:val="28"/>
          <w:szCs w:val="28"/>
        </w:rPr>
        <w:br/>
        <w:t xml:space="preserve">О необходимости направления транспортирования и наличий оснований принятия такого решения региональный оператор обязан уведомить Министерство в течение 1 рабочего дня с момента возникновения обстоятельств, послуживших основанием для изменения потоков направления </w:t>
      </w:r>
      <w:r>
        <w:rPr>
          <w:rFonts w:ascii="Times New Roman" w:hAnsi="Times New Roman"/>
          <w:sz w:val="28"/>
          <w:szCs w:val="28"/>
        </w:rPr>
        <w:lastRenderedPageBreak/>
        <w:t>транспортирования отходов</w:t>
      </w:r>
      <w:r w:rsidRPr="00E41875">
        <w:rPr>
          <w:rFonts w:ascii="Times New Roman" w:hAnsi="Times New Roman"/>
          <w:sz w:val="28"/>
          <w:szCs w:val="28"/>
        </w:rPr>
        <w:t>. Региональный оператор в обязательном порядке прилагает к уведомлению об изменении направления транспортирования ТКО</w:t>
      </w:r>
      <w:r w:rsidR="002A66A6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  <w:r w:rsidRPr="00E41875">
        <w:rPr>
          <w:rFonts w:ascii="Times New Roman" w:hAnsi="Times New Roman"/>
          <w:sz w:val="28"/>
          <w:szCs w:val="28"/>
        </w:rPr>
        <w:t>обоснование выбора тех объектов обработки, обезвреживания и (или) размещения отходов, на которые предполагается направить потоки транспортирования отходов.</w:t>
      </w:r>
    </w:p>
    <w:p w:rsidR="00377F92" w:rsidRPr="00E41875" w:rsidRDefault="009E5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875">
        <w:rPr>
          <w:rFonts w:ascii="Times New Roman" w:hAnsi="Times New Roman"/>
          <w:sz w:val="28"/>
          <w:szCs w:val="28"/>
        </w:rPr>
        <w:t>Министерство в течение 1 рабочего дня после получения уведомления от регионального оператора принимает решение о согласовании/не согласовании изменения направления транспортирования отходов. Решение Министерством оформляется в форме приказа.</w:t>
      </w:r>
    </w:p>
    <w:bookmarkEnd w:id="8"/>
    <w:p w:rsidR="00377F92" w:rsidRDefault="00377F92" w:rsidP="00484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7F92" w:rsidSect="00200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64" w:rsidRDefault="00135464">
      <w:pPr>
        <w:spacing w:after="0" w:line="240" w:lineRule="auto"/>
      </w:pPr>
      <w:r>
        <w:separator/>
      </w:r>
    </w:p>
  </w:endnote>
  <w:endnote w:type="continuationSeparator" w:id="0">
    <w:p w:rsidR="00135464" w:rsidRDefault="0013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64" w:rsidRDefault="00135464">
      <w:pPr>
        <w:spacing w:after="0" w:line="240" w:lineRule="auto"/>
      </w:pPr>
      <w:r>
        <w:separator/>
      </w:r>
    </w:p>
  </w:footnote>
  <w:footnote w:type="continuationSeparator" w:id="0">
    <w:p w:rsidR="00135464" w:rsidRDefault="0013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D7DA5"/>
    <w:multiLevelType w:val="hybridMultilevel"/>
    <w:tmpl w:val="00BED334"/>
    <w:lvl w:ilvl="0" w:tplc="050E4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F09A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49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8C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4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41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4C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C3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CA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6EA5"/>
    <w:multiLevelType w:val="hybridMultilevel"/>
    <w:tmpl w:val="FF3AEC88"/>
    <w:lvl w:ilvl="0" w:tplc="BE508076">
      <w:start w:val="1"/>
      <w:numFmt w:val="decimal"/>
      <w:lvlText w:val="%1."/>
      <w:lvlJc w:val="left"/>
      <w:pPr>
        <w:ind w:left="360" w:hanging="360"/>
      </w:pPr>
    </w:lvl>
    <w:lvl w:ilvl="1" w:tplc="D27465EE">
      <w:start w:val="1"/>
      <w:numFmt w:val="lowerLetter"/>
      <w:lvlText w:val="%2."/>
      <w:lvlJc w:val="left"/>
      <w:pPr>
        <w:ind w:left="1222" w:hanging="360"/>
      </w:pPr>
    </w:lvl>
    <w:lvl w:ilvl="2" w:tplc="EBDCD63E">
      <w:start w:val="1"/>
      <w:numFmt w:val="lowerRoman"/>
      <w:lvlText w:val="%3."/>
      <w:lvlJc w:val="right"/>
      <w:pPr>
        <w:ind w:left="1942" w:hanging="180"/>
      </w:pPr>
    </w:lvl>
    <w:lvl w:ilvl="3" w:tplc="A1582560">
      <w:start w:val="1"/>
      <w:numFmt w:val="decimal"/>
      <w:lvlText w:val="%4."/>
      <w:lvlJc w:val="left"/>
      <w:pPr>
        <w:ind w:left="2662" w:hanging="360"/>
      </w:pPr>
    </w:lvl>
    <w:lvl w:ilvl="4" w:tplc="2C1809F6">
      <w:start w:val="1"/>
      <w:numFmt w:val="lowerLetter"/>
      <w:lvlText w:val="%5."/>
      <w:lvlJc w:val="left"/>
      <w:pPr>
        <w:ind w:left="3382" w:hanging="360"/>
      </w:pPr>
    </w:lvl>
    <w:lvl w:ilvl="5" w:tplc="9D32FC5E">
      <w:start w:val="1"/>
      <w:numFmt w:val="lowerRoman"/>
      <w:lvlText w:val="%6."/>
      <w:lvlJc w:val="right"/>
      <w:pPr>
        <w:ind w:left="4102" w:hanging="180"/>
      </w:pPr>
    </w:lvl>
    <w:lvl w:ilvl="6" w:tplc="4A5C3C2E">
      <w:start w:val="1"/>
      <w:numFmt w:val="decimal"/>
      <w:lvlText w:val="%7."/>
      <w:lvlJc w:val="left"/>
      <w:pPr>
        <w:ind w:left="4822" w:hanging="360"/>
      </w:pPr>
    </w:lvl>
    <w:lvl w:ilvl="7" w:tplc="FEB4CBD8">
      <w:start w:val="1"/>
      <w:numFmt w:val="lowerLetter"/>
      <w:lvlText w:val="%8."/>
      <w:lvlJc w:val="left"/>
      <w:pPr>
        <w:ind w:left="5542" w:hanging="360"/>
      </w:pPr>
    </w:lvl>
    <w:lvl w:ilvl="8" w:tplc="D61A4CA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F92"/>
    <w:rsid w:val="00135464"/>
    <w:rsid w:val="0020006E"/>
    <w:rsid w:val="002A66A6"/>
    <w:rsid w:val="00377F92"/>
    <w:rsid w:val="00484112"/>
    <w:rsid w:val="006E25E4"/>
    <w:rsid w:val="009E5A9E"/>
    <w:rsid w:val="00BB209D"/>
    <w:rsid w:val="00C30D97"/>
    <w:rsid w:val="00E41875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BFB1"/>
  <w15:docId w15:val="{4D09D543-B2C8-47D7-9728-4F2FF84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Title"/>
    <w:basedOn w:val="a"/>
    <w:next w:val="a"/>
    <w:link w:val="af8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8">
    <w:name w:val="Заголовок Знак"/>
    <w:basedOn w:val="a0"/>
    <w:link w:val="af7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Ирина Николаевна</dc:creator>
  <cp:keywords/>
  <dc:description/>
  <cp:lastModifiedBy>Чурюкина Ирина Николаевна</cp:lastModifiedBy>
  <cp:revision>52</cp:revision>
  <dcterms:created xsi:type="dcterms:W3CDTF">2022-08-16T08:48:00Z</dcterms:created>
  <dcterms:modified xsi:type="dcterms:W3CDTF">2023-05-19T08:06:00Z</dcterms:modified>
</cp:coreProperties>
</file>